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62" w:rsidRDefault="00DA2D62" w:rsidP="00DA2D62">
      <w:pPr>
        <w:ind w:firstLine="560"/>
        <w:outlineLvl w:val="3"/>
      </w:pPr>
      <w:bookmarkStart w:id="0" w:name="_Toc159186175"/>
      <w:r>
        <w:rPr>
          <w:rFonts w:ascii="方正仿宋_GBK" w:eastAsia="方正仿宋_GBK" w:hAnsi="方正仿宋_GBK" w:cs="方正仿宋_GBK"/>
          <w:sz w:val="28"/>
        </w:rPr>
        <w:t>480.2021年度天津市科技计划项目结转资金绩效目标表</w:t>
      </w:r>
      <w:bookmarkEnd w:id="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2021年度天津市科技计划项目结转资金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0.07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0.07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用于开展科研项目，为临床治疗提供重要科学依据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1.阐明相关具体机制，深入揭示项目的重要作用，为研发提供新的理论和靶点，为临床治疗提供重要科学依据</w:t>
            </w:r>
          </w:p>
          <w:p w:rsidR="00DA2D62" w:rsidRDefault="00DA2D62" w:rsidP="00CB0BC4">
            <w:pPr>
              <w:pStyle w:val="20"/>
            </w:pPr>
            <w:r>
              <w:t>2.阐明相关具体机制，深入揭示项目的重要作用，为研发提供新的理论和靶点，为临床治疗提供重要科学依据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研究技术指标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组建相关的国际一流研究平台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1个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学术论文数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预计发表学术论文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≥10篇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SCI收录论文数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至少发表在SCI期刊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≥3篇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科研项目结项通过率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科研项目结项通过率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研究进度及时率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研究工作的进度安排及时率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科研支出经费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科研支出财政资金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727.18元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培养人才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培养硕士或博士研究生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培养17名人才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为临床诊疗提供思路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为临床诊疗提供崭新的思路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对于临床应用有广泛的前景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科技成果转化率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可获得的成果和技术指标率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促进青年人才培养可持续发展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促进青年人才培养可持续发展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培养青年技术骨干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推动技术进步和产业发展程度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推动技术进步和产业发展程度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完成或未完成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科研人员满意度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科研人员满意度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&gt;90%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1" w:name="_Toc159186176"/>
      <w:r>
        <w:rPr>
          <w:rFonts w:ascii="方正仿宋_GBK" w:eastAsia="方正仿宋_GBK" w:hAnsi="方正仿宋_GBK" w:cs="方正仿宋_GBK"/>
          <w:sz w:val="28"/>
        </w:rPr>
        <w:t>481.2022年度天津市科技计划项目结转资金项目绩效目标表</w:t>
      </w:r>
      <w:bookmarkEnd w:id="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2022年度天津市科技计划项目结转资金项目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4.88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4.88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用于开展科研活动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1.阐明中央杏仁核脑区BDNF 神经元在调节能量代谢中的作用及相应的分子机制，包括大脑内的神经环路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研究报告数量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研究报告数量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≥1份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人才培养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指导和培养硕士或博士研究生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≥8人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SCI收录论文数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SCI收录论文数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≥2篇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研究进度及时率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研究进度及时率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科研支出经费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科研支出经费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48788.96元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科技成果转化率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科技成果转化率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推动技术进步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推动技术进步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本研究具有相当的新颖和创新性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研究成果促进相关领域建设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研究成果促进相关领域建设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组建中枢神经系统调节代谢相关的国际一流研究平台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促进高层次人才队伍的建设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促进高层次人才队伍的建设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为国家和社会培养新一代科研人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对研发技术满意度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对研发技术满意度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≥100%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2" w:name="_Toc159186177"/>
      <w:r>
        <w:rPr>
          <w:rFonts w:ascii="方正仿宋_GBK" w:eastAsia="方正仿宋_GBK" w:hAnsi="方正仿宋_GBK" w:cs="方正仿宋_GBK"/>
          <w:sz w:val="28"/>
        </w:rPr>
        <w:t>482.非财政拨款项目（综合业务经费）绩效目标表</w:t>
      </w:r>
      <w:bookmarkEnd w:id="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非财政拨款项目（综合业务经费）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3300.00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3300.00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促进医院健康发展，培养科研人才，偿还贷款本金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1.促进医院健康发展，保证患者就医环境；培养医院科教人才，提高医院救治能力，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偿还债务次数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年度偿还债务次数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4次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偿还本金金额</w:t>
            </w:r>
          </w:p>
          <w:p w:rsidR="00DA2D62" w:rsidRDefault="00DA2D62" w:rsidP="00CB0BC4">
            <w:pPr>
              <w:pStyle w:val="20"/>
            </w:pPr>
          </w:p>
          <w:p w:rsidR="00DA2D62" w:rsidRDefault="00DA2D62" w:rsidP="00CB0BC4">
            <w:pPr>
              <w:pStyle w:val="20"/>
            </w:pP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偿还本金金额</w:t>
            </w:r>
          </w:p>
          <w:p w:rsidR="00DA2D62" w:rsidRDefault="00DA2D62" w:rsidP="00CB0BC4">
            <w:pPr>
              <w:pStyle w:val="20"/>
            </w:pPr>
          </w:p>
          <w:p w:rsidR="00DA2D62" w:rsidRDefault="00DA2D62" w:rsidP="00CB0BC4">
            <w:pPr>
              <w:pStyle w:val="20"/>
            </w:pP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1600万元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科研论文发表数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科研论文发表数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≥8篇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偿还到位率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偿还到位率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科研项目结项通过率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科研项目结项通过率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提高科研水平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提高科研水平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按时偿还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按时偿还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根据与银行签订的协议，按时自动划转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项目投入金额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项目投入金额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≤3300万元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促进医院健康发展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促进医院健康发展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完成或未完成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科研成果可提高医院诊治水平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科研成果可提高医院诊治水平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确保及时还款到位.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确保及时还款到位.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及时还款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提升项目相关人员的获得感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提升项目相关人员的获得感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培养高层次人才队伍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培养高层次人才队伍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完成或未完成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项目实施满意度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项目实施满意度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科研人员满意度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科研人员满意度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≥95%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3" w:name="_Toc159186178"/>
      <w:r>
        <w:rPr>
          <w:rFonts w:ascii="方正仿宋_GBK" w:eastAsia="方正仿宋_GBK" w:hAnsi="方正仿宋_GBK" w:cs="方正仿宋_GBK"/>
          <w:sz w:val="28"/>
        </w:rPr>
        <w:t>483.公立医院综合改革-01直达资金-2024年医疗服务与保障能力提升绩效目标表</w:t>
      </w:r>
      <w:bookmarkEnd w:id="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公立医院综合改革-01直达资金-2024年医疗服务与保障能力提升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21.70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21.70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购置一批专用卫生材料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1.购置卫生专用材料，不断提升医院诊疗水平，提高患者就医满意度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诊疗人次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诊疗人次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≥100万人次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购置的专用卫生材料使用率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购置的专用卫生材料使用率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支付款项的及时性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支付款项的及时性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财政拨款支出金额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财政拨款支出金额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21.7万元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提高医疗服务水平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提高医疗服务水平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 xml:space="preserve"> 提升患者的获得感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 xml:space="preserve"> 提升患者的获得感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促进医院综合能力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促进医院综合能力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有效增强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营造良好的就诊环境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营造良好的就诊环境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完成或未完成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患者满意度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医疗服务满意度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医疗服务满意度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≥95%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4" w:name="_Toc159186179"/>
      <w:r>
        <w:rPr>
          <w:rFonts w:ascii="方正仿宋_GBK" w:eastAsia="方正仿宋_GBK" w:hAnsi="方正仿宋_GBK" w:cs="方正仿宋_GBK"/>
          <w:sz w:val="28"/>
        </w:rPr>
        <w:t>484.基本公共卫生服务-6元项目-健康素养促进（2024年）绩效目标表</w:t>
      </w:r>
      <w:bookmarkEnd w:id="4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基本公共卫生服务-6元项目-健康素养促进（2024年）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3.00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完成开展健康促进医院建设工作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1.按照健康中国行动、健康天津行动以及健康素养促进项目有关要求，完成开展健康促进医院建设工作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健康体检人数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健康体检人数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&gt;800人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健康促进建设达标合格情况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健康促进建设达标合格情况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≥80%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按时完成项目工作任务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按时完成项目工作任务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年度内完成当年任务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财政资金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财政资金支持情况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3万元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提高医院健康科普意识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提高医院健康促进意识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营造健康促进良好环境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营造健康促进良好环境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促进良好环境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加强健康促进医院建设工作重要意义的认识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加强健康促进医院建设工作重要意义的认识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有效加强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提高国民健康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提高国民健康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参与人员满意度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参与人员满意度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≥95%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5" w:name="_Toc159186180"/>
      <w:r>
        <w:rPr>
          <w:rFonts w:ascii="方正仿宋_GBK" w:eastAsia="方正仿宋_GBK" w:hAnsi="方正仿宋_GBK" w:cs="方正仿宋_GBK"/>
          <w:sz w:val="28"/>
        </w:rPr>
        <w:t>485.基层糖尿病防治管理（2024年）绩效目标表</w:t>
      </w:r>
      <w:bookmarkEnd w:id="5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基层糖尿病防治管理（2024年）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组织开展天津市基层糖尿病防治工作，进行健康教育、培训。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1.组织开展天津市基层糖尿病防治管理的规划、培训、监测和评价，面向群众开展健康教育等相关工作，提升基层糖尿病防治管理水平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培训次数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培训次数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≥3次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指导帮扶次数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指导帮扶次数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≥3次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工作会议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工作会议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≥2次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培训完成率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培训完成率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指导帮扶完成率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指导帮扶完成率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工作会议完成率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工作会议完成率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工作任务及时完成率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工作任务及时完成率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基层糖尿病防治管理经费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基层糖尿病防治管理经费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提高糖尿病患者健康保障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提高糖尿病患者健康保障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有效提高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开展义诊及宣教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开展义诊及宣教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年度内按计划开展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做好基层糖尿病防治技术指导工作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做好基层糖尿病防治技术指导工作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完成或未完成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提升基层糖尿病防治管理水平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提升基层糖尿病防治管理水平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</w:t>
            </w:r>
            <w:r>
              <w:lastRenderedPageBreak/>
              <w:t>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lastRenderedPageBreak/>
              <w:t>培训对象满</w:t>
            </w:r>
            <w:r>
              <w:lastRenderedPageBreak/>
              <w:t>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lastRenderedPageBreak/>
              <w:t>培训对象满意度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≥95%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宣教满意度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宣教满意度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≥95%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6" w:name="_Toc159186181"/>
      <w:r>
        <w:rPr>
          <w:rFonts w:ascii="方正仿宋_GBK" w:eastAsia="方正仿宋_GBK" w:hAnsi="方正仿宋_GBK" w:cs="方正仿宋_GBK"/>
          <w:sz w:val="28"/>
        </w:rPr>
        <w:t>486.柔性组团式援藏援甘等帮扶补助（2024年）绩效目标表</w:t>
      </w:r>
      <w:bookmarkEnd w:id="6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柔性组团式援藏援甘等帮扶补助（2024年）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5.20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5.20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给前往支援地的医务人员发放工作补贴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1.按照国家卫生健康委要求和对口关系，前往支援地，完成支援任务</w:t>
            </w:r>
          </w:p>
          <w:p w:rsidR="00DA2D62" w:rsidRDefault="00DA2D62" w:rsidP="00CB0BC4">
            <w:pPr>
              <w:pStyle w:val="20"/>
            </w:pP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与对口支援西部人次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与对口支援西部人次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≥1人次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保质保量完成干部人才帮扶支援相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保质保量完成干部人才帮扶支援相关工作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保证工作质量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帮扶工作完成时间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帮扶工作完成时间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12个月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帮扶人员工作补助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帮扶人员工作补助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每人每月3800元发放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不断提高医疗服务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不断提高帮扶地区医疗服务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不断提高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提高诊疗效率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提高帮扶地区诊疗效率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有效增强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营造良好的就医诊疗环境，提升百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营造良好的就医诊疗环境，提升百姓安全感、幸福感、获得感。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不断提升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医疗帮扶对象满意度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医疗帮扶对象满意度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≥95%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7" w:name="_Toc159186182"/>
      <w:r>
        <w:rPr>
          <w:rFonts w:ascii="方正仿宋_GBK" w:eastAsia="方正仿宋_GBK" w:hAnsi="方正仿宋_GBK" w:cs="方正仿宋_GBK"/>
          <w:sz w:val="28"/>
        </w:rPr>
        <w:t>487.天津市名中医传承工作室建设（2024年）绩效目标表</w:t>
      </w:r>
      <w:bookmarkEnd w:id="7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天津市名中医传承工作室建设（2024年）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开展中医传承工作，创建名中医工作室及中西医结合人才培养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1.建立一个名中医工作室，用于优化重点病种的中西医结合诊疗体系，优化病种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建立优势病种数量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建立优势病种数量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≥3个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建立3个临床路径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建立3个临床路径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完成或未完成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课题年度完成率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课题年度完成率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完善中西医结合重点病种诊疗规范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完善中西医结合重点病种诊疗规范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不断完善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培养中西医结合人才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培养中西医结合人才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培养人才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解决优势病种治疗难点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解决优势病种治疗难点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有效解决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提高中西医结合治疗的新成果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提高中西医结合治疗的新成果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医院中医人才满意度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医院中医人才满意度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8" w:name="_Toc159186183"/>
      <w:r>
        <w:rPr>
          <w:rFonts w:ascii="方正仿宋_GBK" w:eastAsia="方正仿宋_GBK" w:hAnsi="方正仿宋_GBK" w:cs="方正仿宋_GBK"/>
          <w:sz w:val="28"/>
        </w:rPr>
        <w:t>488.援疆援藏医疗队补助（2024年）绩效目标表</w:t>
      </w:r>
      <w:bookmarkEnd w:id="8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援疆援藏医疗队补助（2024年）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4.20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4.20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给前往支援地的医务人员发放工作补助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1.按照中组部、国家卫生健康委、市委市政府关于东西部对口支援工作要求，完成年度对口支援工作任务。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前往帮扶人次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前往帮扶人次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≥1人次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医院支援任务完成达标情况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医院支援任务完成达标情况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完成或未完成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按照时间节点要求开展帮扶工作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按照时间节点要求开展帮扶工作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计划内完成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预算成本控制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预算成本控制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4.2万元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受援医院相关科室经济收益较帮扶前提升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受援医院相关科室经济收益较帮扶前提升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受援医院相关科室在当地的认可程度较帮扶前提升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受援医院相关科室在当地的认可程度较帮扶前提升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受援医院医疗水平提高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受援医院医疗水平提高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受援医院相关科室竞争能力增强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受援医院相关科室竞争能力增强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加强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支援人员满意度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支援人员满意度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≥95%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9" w:name="_Toc159186184"/>
      <w:r>
        <w:rPr>
          <w:rFonts w:ascii="方正仿宋_GBK" w:eastAsia="方正仿宋_GBK" w:hAnsi="方正仿宋_GBK" w:cs="方正仿宋_GBK"/>
          <w:sz w:val="28"/>
        </w:rPr>
        <w:t>489.援外医疗队补助（2024年）绩效目标表</w:t>
      </w:r>
      <w:bookmarkEnd w:id="9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援外医疗队补助（2024年）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16.70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16.70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给前往支援地的医务工作者发放援外补助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1.保障援外医疗工作顺利开展，医务工作者投身援外工作的积极性，充分发挥卫生为国家外交服务的作用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援外医疗队人数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援外医疗队人数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2人次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援外工作计划要求达标情况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援外工作计划要求达标情况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达标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按时完成派出任务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按时完成派出任务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计划内按时完成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16.7万元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推动两国友好往来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推动两国友好往来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有效推动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提升当地医疗水平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提升当地医疗水平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提升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发扬我国的大国风范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发扬我国的大国风范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有效提高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援外津贴全部发放到位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援外津贴全部发放到位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发放到位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受补助人员满意度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受补助人员对补助发放及时率的满意度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≥95%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DA2D62" w:rsidRDefault="00DA2D62" w:rsidP="00DA2D62">
      <w:pPr>
        <w:jc w:val="center"/>
      </w:pPr>
    </w:p>
    <w:p w:rsidR="00DA2D62" w:rsidRDefault="00DA2D62" w:rsidP="00DA2D62">
      <w:pPr>
        <w:ind w:firstLine="560"/>
        <w:outlineLvl w:val="3"/>
      </w:pPr>
      <w:bookmarkStart w:id="10" w:name="_Toc159186185"/>
      <w:r>
        <w:rPr>
          <w:rFonts w:ascii="方正仿宋_GBK" w:eastAsia="方正仿宋_GBK" w:hAnsi="方正仿宋_GBK" w:cs="方正仿宋_GBK"/>
          <w:sz w:val="28"/>
        </w:rPr>
        <w:t>490.中医中西医结合科研课题（2024年）绩效目标表</w:t>
      </w:r>
      <w:bookmarkEnd w:id="1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A2D62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5"/>
            </w:pPr>
            <w:r>
              <w:t>330227天津医科大学朱宪彝纪念医院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A2D62" w:rsidRDefault="00DA2D62" w:rsidP="00CB0BC4">
            <w:pPr>
              <w:pStyle w:val="40"/>
            </w:pPr>
            <w:r>
              <w:t>单位：万元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中医中西医结合科研课题（2024年）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0.50</w:t>
            </w:r>
          </w:p>
        </w:tc>
        <w:tc>
          <w:tcPr>
            <w:tcW w:w="1587" w:type="dxa"/>
            <w:vAlign w:val="center"/>
          </w:tcPr>
          <w:p w:rsidR="00DA2D62" w:rsidRDefault="00DA2D62" w:rsidP="00CB0BC4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A2D62" w:rsidRDefault="00DA2D62" w:rsidP="00CB0BC4">
            <w:pPr>
              <w:pStyle w:val="20"/>
            </w:pPr>
            <w:r>
              <w:t>0.50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</w:tcPr>
          <w:p w:rsidR="00DA2D62" w:rsidRDefault="00DA2D62" w:rsidP="00CB0BC4"/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明确津力达颗粒改善糖尿病肾病的作用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DA2D62" w:rsidRDefault="00DA2D62" w:rsidP="00CB0BC4">
            <w:pPr>
              <w:pStyle w:val="20"/>
            </w:pPr>
            <w:r>
              <w:t>1.成功建立模型，明确津力达颗粒改善糖尿病肾病的作用</w:t>
            </w:r>
          </w:p>
        </w:tc>
      </w:tr>
    </w:tbl>
    <w:p w:rsidR="00DA2D62" w:rsidRDefault="00DA2D62" w:rsidP="00DA2D62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DA2D62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10"/>
            </w:pPr>
            <w:r>
              <w:t>指标值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科研项目立项数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科研项目立项数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1项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科研人员跟随率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科研人员跟随率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提高科研水平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提高糖尿病肾病科研水平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100%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科研经费支出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科研经费支出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0.5万元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A2D62" w:rsidRDefault="00DA2D62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科研成果转化率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科研成果转化率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改善糖尿病肾病患者治愈水平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改善糖尿病肾病患者治愈水平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有效改善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提供糖尿病肾病治疗数据支持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提供糖尿病肾病治疗数据支持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完成或未完成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A2D62" w:rsidRDefault="00DA2D62" w:rsidP="00CB0BC4"/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促进人才科研创新能力发展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促进人才科研创新能力发展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培养科研人才</w:t>
            </w:r>
          </w:p>
        </w:tc>
      </w:tr>
      <w:tr w:rsidR="00DA2D62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DA2D62" w:rsidRDefault="00DA2D62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A2D62" w:rsidRDefault="00DA2D62" w:rsidP="00CB0BC4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A2D62" w:rsidRDefault="00DA2D62" w:rsidP="00CB0BC4">
            <w:pPr>
              <w:pStyle w:val="20"/>
            </w:pPr>
            <w:r>
              <w:t>科研人员满意度</w:t>
            </w:r>
          </w:p>
        </w:tc>
        <w:tc>
          <w:tcPr>
            <w:tcW w:w="3430" w:type="dxa"/>
            <w:vAlign w:val="center"/>
          </w:tcPr>
          <w:p w:rsidR="00DA2D62" w:rsidRDefault="00DA2D62" w:rsidP="00CB0BC4">
            <w:pPr>
              <w:pStyle w:val="20"/>
            </w:pPr>
            <w:r>
              <w:t>科研人员满意度</w:t>
            </w:r>
          </w:p>
        </w:tc>
        <w:tc>
          <w:tcPr>
            <w:tcW w:w="2551" w:type="dxa"/>
            <w:vAlign w:val="center"/>
          </w:tcPr>
          <w:p w:rsidR="00DA2D62" w:rsidRDefault="00DA2D62" w:rsidP="00CB0BC4">
            <w:pPr>
              <w:pStyle w:val="20"/>
            </w:pPr>
            <w:r>
              <w:t>≥90%</w:t>
            </w:r>
          </w:p>
        </w:tc>
      </w:tr>
    </w:tbl>
    <w:p w:rsidR="00DA2D62" w:rsidRDefault="00DA2D62" w:rsidP="00DA2D62">
      <w:pPr>
        <w:sectPr w:rsidR="00DA2D62">
          <w:pgSz w:w="11900" w:h="16840"/>
          <w:pgMar w:top="1984" w:right="1304" w:bottom="1134" w:left="1304" w:header="720" w:footer="720" w:gutter="0"/>
          <w:cols w:space="720"/>
        </w:sectPr>
      </w:pPr>
    </w:p>
    <w:p w:rsidR="00E94BD2" w:rsidRDefault="00E94BD2"/>
    <w:sectPr w:rsidR="00E9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D2" w:rsidRDefault="00E94BD2" w:rsidP="00DA2D62">
      <w:r>
        <w:separator/>
      </w:r>
    </w:p>
  </w:endnote>
  <w:endnote w:type="continuationSeparator" w:id="1">
    <w:p w:rsidR="00E94BD2" w:rsidRDefault="00E94BD2" w:rsidP="00DA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D2" w:rsidRDefault="00E94BD2" w:rsidP="00DA2D62">
      <w:r>
        <w:separator/>
      </w:r>
    </w:p>
  </w:footnote>
  <w:footnote w:type="continuationSeparator" w:id="1">
    <w:p w:rsidR="00E94BD2" w:rsidRDefault="00E94BD2" w:rsidP="00DA2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D62"/>
    <w:rsid w:val="00DA2D62"/>
    <w:rsid w:val="00E9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A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A2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2D62"/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DA2D62"/>
    <w:pPr>
      <w:widowControl/>
      <w:spacing w:before="120"/>
      <w:jc w:val="left"/>
    </w:pPr>
    <w:rPr>
      <w:rFonts w:ascii="Times New Roman" w:eastAsia="方正仿宋_GBK" w:hAnsi="Times New Roman" w:cs="Times New Roman"/>
      <w:color w:val="000000"/>
      <w:kern w:val="0"/>
      <w:sz w:val="28"/>
      <w:szCs w:val="24"/>
      <w:lang w:eastAsia="uk-UA"/>
    </w:rPr>
  </w:style>
  <w:style w:type="paragraph" w:styleId="4">
    <w:name w:val="toc 4"/>
    <w:basedOn w:val="a"/>
    <w:next w:val="a"/>
    <w:uiPriority w:val="39"/>
    <w:qFormat/>
    <w:rsid w:val="00DA2D62"/>
    <w:pPr>
      <w:widowControl/>
      <w:ind w:left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styleId="2">
    <w:name w:val="toc 2"/>
    <w:basedOn w:val="a"/>
    <w:next w:val="a"/>
    <w:uiPriority w:val="39"/>
    <w:qFormat/>
    <w:rsid w:val="00DA2D62"/>
    <w:pPr>
      <w:widowControl/>
      <w:ind w:left="24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table" w:styleId="a5">
    <w:name w:val="Table Grid"/>
    <w:basedOn w:val="a1"/>
    <w:qFormat/>
    <w:rsid w:val="00DA2D6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DA2D62"/>
    <w:rPr>
      <w:color w:val="0000FF" w:themeColor="hyperlink"/>
      <w:u w:val="single"/>
    </w:rPr>
  </w:style>
  <w:style w:type="paragraph" w:customStyle="1" w:styleId="-">
    <w:name w:val="插入文本样式-插入总体目标文件"/>
    <w:basedOn w:val="a"/>
    <w:qFormat/>
    <w:rsid w:val="00DA2D62"/>
    <w:pPr>
      <w:widowControl/>
      <w:spacing w:line="500" w:lineRule="exact"/>
      <w:ind w:firstLine="560"/>
      <w:jc w:val="left"/>
    </w:pPr>
    <w:rPr>
      <w:rFonts w:ascii="Times New Roman" w:eastAsia="方正仿宋_GBK" w:hAnsi="Times New Roman" w:cs="Times New Roman"/>
      <w:kern w:val="0"/>
      <w:sz w:val="28"/>
      <w:szCs w:val="24"/>
      <w:lang w:eastAsia="uk-UA"/>
    </w:rPr>
  </w:style>
  <w:style w:type="paragraph" w:customStyle="1" w:styleId="-0">
    <w:name w:val="插入文本样式-插入职责分类绩效目标文件"/>
    <w:basedOn w:val="a"/>
    <w:qFormat/>
    <w:rsid w:val="00DA2D62"/>
    <w:pPr>
      <w:widowControl/>
      <w:spacing w:line="500" w:lineRule="exact"/>
      <w:ind w:firstLine="560"/>
      <w:jc w:val="left"/>
    </w:pPr>
    <w:rPr>
      <w:rFonts w:ascii="Times New Roman" w:eastAsia="方正仿宋_GBK" w:hAnsi="Times New Roman" w:cs="Times New Roman"/>
      <w:kern w:val="0"/>
      <w:sz w:val="28"/>
      <w:szCs w:val="24"/>
      <w:lang w:eastAsia="uk-UA"/>
    </w:rPr>
  </w:style>
  <w:style w:type="paragraph" w:customStyle="1" w:styleId="-1">
    <w:name w:val="插入文本样式-插入实现年度发展规划目标的保障措施文件"/>
    <w:basedOn w:val="a"/>
    <w:qFormat/>
    <w:rsid w:val="00DA2D62"/>
    <w:pPr>
      <w:widowControl/>
      <w:spacing w:line="500" w:lineRule="exact"/>
      <w:ind w:firstLine="560"/>
      <w:jc w:val="left"/>
    </w:pPr>
    <w:rPr>
      <w:rFonts w:ascii="Times New Roman" w:eastAsia="方正仿宋_GBK" w:hAnsi="Times New Roman" w:cs="Times New Roman"/>
      <w:kern w:val="0"/>
      <w:sz w:val="28"/>
      <w:szCs w:val="24"/>
      <w:lang w:eastAsia="uk-UA"/>
    </w:rPr>
  </w:style>
  <w:style w:type="paragraph" w:customStyle="1" w:styleId="40">
    <w:name w:val="单元格样式4"/>
    <w:basedOn w:val="a"/>
    <w:qFormat/>
    <w:rsid w:val="00DA2D62"/>
    <w:pPr>
      <w:widowControl/>
      <w:jc w:val="right"/>
    </w:pPr>
    <w:rPr>
      <w:rFonts w:ascii="方正书宋_GBK" w:eastAsia="方正书宋_GBK" w:hAnsi="方正书宋_GBK" w:cs="方正书宋_GBK"/>
      <w:kern w:val="0"/>
      <w:szCs w:val="24"/>
      <w:lang w:eastAsia="uk-UA"/>
    </w:rPr>
  </w:style>
  <w:style w:type="paragraph" w:customStyle="1" w:styleId="5">
    <w:name w:val="单元格样式5"/>
    <w:basedOn w:val="a"/>
    <w:qFormat/>
    <w:rsid w:val="00DA2D62"/>
    <w:pPr>
      <w:widowControl/>
      <w:jc w:val="left"/>
    </w:pPr>
    <w:rPr>
      <w:rFonts w:ascii="方正书宋_GBK" w:eastAsia="方正书宋_GBK" w:hAnsi="方正书宋_GBK" w:cs="方正书宋_GBK"/>
      <w:b/>
      <w:kern w:val="0"/>
      <w:szCs w:val="24"/>
      <w:lang w:eastAsia="uk-UA"/>
    </w:rPr>
  </w:style>
  <w:style w:type="paragraph" w:customStyle="1" w:styleId="20">
    <w:name w:val="单元格样式2"/>
    <w:basedOn w:val="a"/>
    <w:qFormat/>
    <w:rsid w:val="00DA2D62"/>
    <w:pPr>
      <w:widowControl/>
      <w:jc w:val="left"/>
    </w:pPr>
    <w:rPr>
      <w:rFonts w:ascii="方正书宋_GBK" w:eastAsia="方正书宋_GBK" w:hAnsi="方正书宋_GBK" w:cs="方正书宋_GBK"/>
      <w:kern w:val="0"/>
      <w:szCs w:val="24"/>
      <w:lang w:eastAsia="uk-UA"/>
    </w:rPr>
  </w:style>
  <w:style w:type="paragraph" w:customStyle="1" w:styleId="10">
    <w:name w:val="单元格样式1"/>
    <w:basedOn w:val="a"/>
    <w:qFormat/>
    <w:rsid w:val="00DA2D62"/>
    <w:pPr>
      <w:widowControl/>
      <w:jc w:val="center"/>
    </w:pPr>
    <w:rPr>
      <w:rFonts w:ascii="方正书宋_GBK" w:eastAsia="方正书宋_GBK" w:hAnsi="方正书宋_GBK" w:cs="方正书宋_GBK"/>
      <w:b/>
      <w:kern w:val="0"/>
      <w:szCs w:val="24"/>
      <w:lang w:eastAsia="uk-UA"/>
    </w:rPr>
  </w:style>
  <w:style w:type="paragraph" w:customStyle="1" w:styleId="3">
    <w:name w:val="单元格样式3"/>
    <w:basedOn w:val="a"/>
    <w:qFormat/>
    <w:rsid w:val="00DA2D62"/>
    <w:pPr>
      <w:widowControl/>
      <w:jc w:val="center"/>
    </w:pPr>
    <w:rPr>
      <w:rFonts w:ascii="方正书宋_GBK" w:eastAsia="方正书宋_GBK" w:hAnsi="方正书宋_GBK" w:cs="方正书宋_GBK"/>
      <w:kern w:val="0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2024-02-19T07:36:00Z</dcterms:created>
  <dcterms:modified xsi:type="dcterms:W3CDTF">2024-02-19T07:37:00Z</dcterms:modified>
</cp:coreProperties>
</file>